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7A23" w:rsidRPr="00145429" w:rsidRDefault="00145429">
      <w:pPr>
        <w:rPr>
          <w:rFonts w:asciiTheme="majorBidi" w:hAnsiTheme="majorBidi" w:cstheme="majorBidi"/>
          <w:sz w:val="22"/>
          <w:szCs w:val="22"/>
        </w:rPr>
      </w:pPr>
      <w:r w:rsidRPr="00145429">
        <w:rPr>
          <w:rFonts w:asciiTheme="majorBidi" w:hAnsiTheme="majorBidi" w:cstheme="majorBidi"/>
          <w:noProof/>
          <w:sz w:val="22"/>
          <w:szCs w:val="22"/>
        </w:rPr>
        <w:drawing>
          <wp:inline distT="0" distB="0" distL="0" distR="0" wp14:anchorId="158D1B42" wp14:editId="615B6C98">
            <wp:extent cx="5943600" cy="1416666"/>
            <wp:effectExtent l="0" t="0" r="0" b="635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1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429" w:rsidRPr="00145429" w:rsidRDefault="00145429">
      <w:pPr>
        <w:rPr>
          <w:rFonts w:asciiTheme="majorBidi" w:hAnsiTheme="majorBidi" w:cstheme="majorBidi"/>
          <w:sz w:val="22"/>
          <w:szCs w:val="22"/>
        </w:rPr>
      </w:pPr>
    </w:p>
    <w:p w:rsidR="00145429" w:rsidRPr="00145429" w:rsidRDefault="00145429" w:rsidP="00145429">
      <w:pPr>
        <w:contextualSpacing/>
        <w:jc w:val="center"/>
        <w:rPr>
          <w:rFonts w:asciiTheme="majorBidi" w:hAnsiTheme="majorBidi" w:cstheme="majorBidi"/>
          <w:sz w:val="22"/>
          <w:szCs w:val="22"/>
        </w:rPr>
      </w:pPr>
      <w:r w:rsidRPr="00145429">
        <w:rPr>
          <w:rFonts w:asciiTheme="majorBidi" w:hAnsiTheme="majorBidi" w:cstheme="majorBidi"/>
          <w:sz w:val="22"/>
          <w:szCs w:val="22"/>
        </w:rPr>
        <w:drawing>
          <wp:inline distT="0" distB="0" distL="0" distR="0" wp14:anchorId="5B6DA231" wp14:editId="28692AF8">
            <wp:extent cx="2286000" cy="21164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15247" cy="214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429" w:rsidRDefault="00145429" w:rsidP="00145429">
      <w:pPr>
        <w:pStyle w:val="NormalWeb"/>
        <w:contextualSpacing/>
        <w:jc w:val="center"/>
        <w:rPr>
          <w:rFonts w:asciiTheme="majorBidi" w:hAnsiTheme="majorBidi" w:cstheme="majorBidi"/>
          <w:b/>
          <w:bCs/>
          <w:sz w:val="22"/>
          <w:szCs w:val="22"/>
        </w:rPr>
      </w:pPr>
      <w:r w:rsidRPr="00145429">
        <w:rPr>
          <w:rFonts w:asciiTheme="majorBidi" w:hAnsiTheme="majorBidi" w:cstheme="majorBidi"/>
          <w:b/>
          <w:bCs/>
          <w:sz w:val="22"/>
          <w:szCs w:val="22"/>
        </w:rPr>
        <w:t xml:space="preserve">Mohammed </w:t>
      </w:r>
      <w:proofErr w:type="spellStart"/>
      <w:r w:rsidRPr="00145429">
        <w:rPr>
          <w:rFonts w:asciiTheme="majorBidi" w:hAnsiTheme="majorBidi" w:cstheme="majorBidi"/>
          <w:b/>
          <w:bCs/>
          <w:sz w:val="22"/>
          <w:szCs w:val="22"/>
        </w:rPr>
        <w:t>Adaya</w:t>
      </w:r>
      <w:proofErr w:type="spellEnd"/>
      <w:r w:rsidRPr="00145429">
        <w:rPr>
          <w:rFonts w:asciiTheme="majorBidi" w:hAnsiTheme="majorBidi" w:cstheme="majorBidi"/>
          <w:b/>
          <w:bCs/>
          <w:sz w:val="22"/>
          <w:szCs w:val="22"/>
        </w:rPr>
        <w:t xml:space="preserve"> </w:t>
      </w:r>
      <w:proofErr w:type="spellStart"/>
      <w:r w:rsidRPr="00145429">
        <w:rPr>
          <w:rFonts w:asciiTheme="majorBidi" w:hAnsiTheme="majorBidi" w:cstheme="majorBidi"/>
          <w:b/>
          <w:bCs/>
          <w:sz w:val="22"/>
          <w:szCs w:val="22"/>
        </w:rPr>
        <w:t>Salisu</w:t>
      </w:r>
      <w:proofErr w:type="spellEnd"/>
      <w:r w:rsidRPr="00145429">
        <w:rPr>
          <w:rFonts w:asciiTheme="majorBidi" w:hAnsiTheme="majorBidi" w:cstheme="majorBidi"/>
          <w:b/>
          <w:bCs/>
          <w:sz w:val="22"/>
          <w:szCs w:val="22"/>
        </w:rPr>
        <w:t>, PhD</w:t>
      </w:r>
      <w:r w:rsidRPr="00145429">
        <w:rPr>
          <w:rFonts w:asciiTheme="majorBidi" w:hAnsiTheme="majorBidi" w:cstheme="majorBidi"/>
          <w:b/>
          <w:bCs/>
          <w:sz w:val="22"/>
          <w:szCs w:val="22"/>
        </w:rPr>
        <w:t xml:space="preserve"> (Guest Speaker)</w:t>
      </w:r>
    </w:p>
    <w:p w:rsidR="003D3043" w:rsidRDefault="003D3043" w:rsidP="00145429">
      <w:pPr>
        <w:pStyle w:val="NormalWeb"/>
        <w:contextualSpacing/>
        <w:jc w:val="center"/>
        <w:rPr>
          <w:rFonts w:asciiTheme="majorBidi" w:hAnsiTheme="majorBidi" w:cstheme="majorBidi"/>
          <w:b/>
          <w:bCs/>
          <w:sz w:val="22"/>
          <w:szCs w:val="22"/>
        </w:rPr>
      </w:pPr>
    </w:p>
    <w:p w:rsidR="003D3043" w:rsidRDefault="003D3043" w:rsidP="00145429">
      <w:pPr>
        <w:pStyle w:val="NormalWeb"/>
        <w:contextualSpacing/>
        <w:jc w:val="center"/>
        <w:rPr>
          <w:rFonts w:asciiTheme="majorBidi" w:hAnsiTheme="majorBidi" w:cstheme="majorBidi"/>
          <w:b/>
          <w:bCs/>
          <w:sz w:val="22"/>
          <w:szCs w:val="22"/>
        </w:rPr>
      </w:pPr>
    </w:p>
    <w:p w:rsidR="003D3043" w:rsidRPr="003D3043" w:rsidRDefault="003D3043" w:rsidP="003D3043">
      <w:pPr>
        <w:pStyle w:val="NormalWeb"/>
        <w:contextualSpacing/>
        <w:rPr>
          <w:rFonts w:asciiTheme="majorBidi" w:hAnsiTheme="majorBidi" w:cstheme="majorBidi"/>
          <w:i/>
          <w:iCs/>
          <w:sz w:val="22"/>
          <w:szCs w:val="22"/>
        </w:rPr>
      </w:pPr>
      <w:r>
        <w:rPr>
          <w:rFonts w:asciiTheme="majorBidi" w:hAnsiTheme="majorBidi" w:cstheme="majorBidi"/>
          <w:b/>
          <w:bCs/>
          <w:sz w:val="22"/>
          <w:szCs w:val="22"/>
        </w:rPr>
        <w:t xml:space="preserve">Topic: </w:t>
      </w:r>
      <w:r w:rsidRPr="003D3043">
        <w:rPr>
          <w:rFonts w:asciiTheme="majorBidi" w:hAnsiTheme="majorBidi" w:cstheme="majorBidi"/>
          <w:i/>
          <w:iCs/>
          <w:sz w:val="22"/>
          <w:szCs w:val="22"/>
        </w:rPr>
        <w:t xml:space="preserve">“The opportunities and pitfalls of the digital revolution in light of the socio-economic </w:t>
      </w:r>
    </w:p>
    <w:p w:rsidR="003D3043" w:rsidRPr="003D3043" w:rsidRDefault="003D3043" w:rsidP="003D3043">
      <w:pPr>
        <w:pStyle w:val="NormalWeb"/>
        <w:contextualSpacing/>
        <w:rPr>
          <w:rFonts w:asciiTheme="majorBidi" w:hAnsiTheme="majorBidi" w:cstheme="majorBidi"/>
          <w:b/>
          <w:bCs/>
          <w:i/>
          <w:iCs/>
          <w:sz w:val="22"/>
          <w:szCs w:val="22"/>
        </w:rPr>
      </w:pPr>
      <w:r w:rsidRPr="003D3043">
        <w:rPr>
          <w:rFonts w:asciiTheme="majorBidi" w:hAnsiTheme="majorBidi" w:cstheme="majorBidi"/>
          <w:i/>
          <w:iCs/>
          <w:sz w:val="22"/>
          <w:szCs w:val="22"/>
        </w:rPr>
        <w:t xml:space="preserve">             </w:t>
      </w:r>
      <w:r w:rsidRPr="003D3043">
        <w:rPr>
          <w:rFonts w:asciiTheme="majorBidi" w:hAnsiTheme="majorBidi" w:cstheme="majorBidi"/>
          <w:i/>
          <w:iCs/>
          <w:sz w:val="22"/>
          <w:szCs w:val="22"/>
        </w:rPr>
        <w:t>development projections of Africa”</w:t>
      </w:r>
    </w:p>
    <w:p w:rsidR="003D3043" w:rsidRDefault="003D3043" w:rsidP="003D3043">
      <w:pPr>
        <w:pStyle w:val="NormalWeb"/>
        <w:contextualSpacing/>
        <w:rPr>
          <w:rFonts w:asciiTheme="majorBidi" w:hAnsiTheme="majorBidi" w:cstheme="majorBidi"/>
          <w:b/>
          <w:bCs/>
          <w:sz w:val="22"/>
          <w:szCs w:val="22"/>
        </w:rPr>
      </w:pPr>
    </w:p>
    <w:p w:rsidR="00EC0FFE" w:rsidRDefault="00EC0FFE" w:rsidP="003D3043">
      <w:pPr>
        <w:pStyle w:val="NormalWeb"/>
        <w:contextualSpacing/>
        <w:rPr>
          <w:rFonts w:asciiTheme="majorBidi" w:hAnsiTheme="majorBidi" w:cstheme="majorBidi"/>
          <w:b/>
          <w:bCs/>
          <w:sz w:val="22"/>
          <w:szCs w:val="22"/>
        </w:rPr>
      </w:pPr>
    </w:p>
    <w:p w:rsidR="003D3043" w:rsidRDefault="00EC0FFE" w:rsidP="003D3043">
      <w:pPr>
        <w:pStyle w:val="NormalWeb"/>
        <w:contextualSpacing/>
        <w:rPr>
          <w:rFonts w:asciiTheme="majorBidi" w:hAnsiTheme="majorBidi" w:cstheme="majorBidi"/>
          <w:b/>
          <w:bCs/>
          <w:sz w:val="22"/>
          <w:szCs w:val="22"/>
          <w:u w:val="single"/>
        </w:rPr>
      </w:pPr>
      <w:r w:rsidRPr="00EC0FFE">
        <w:rPr>
          <w:rFonts w:asciiTheme="majorBidi" w:hAnsiTheme="majorBidi" w:cstheme="majorBidi"/>
          <w:b/>
          <w:bCs/>
          <w:sz w:val="22"/>
          <w:szCs w:val="22"/>
          <w:u w:val="single"/>
        </w:rPr>
        <w:t>Brief Profile</w:t>
      </w:r>
    </w:p>
    <w:p w:rsidR="00EC0FFE" w:rsidRPr="00EC0FFE" w:rsidRDefault="00EC0FFE" w:rsidP="003D3043">
      <w:pPr>
        <w:pStyle w:val="NormalWeb"/>
        <w:contextualSpacing/>
        <w:rPr>
          <w:rFonts w:asciiTheme="majorBidi" w:hAnsiTheme="majorBidi" w:cstheme="majorBidi"/>
          <w:b/>
          <w:bCs/>
          <w:sz w:val="22"/>
          <w:szCs w:val="22"/>
          <w:u w:val="single"/>
        </w:rPr>
      </w:pPr>
      <w:bookmarkStart w:id="0" w:name="_GoBack"/>
      <w:bookmarkEnd w:id="0"/>
    </w:p>
    <w:p w:rsidR="00145429" w:rsidRPr="00145429" w:rsidRDefault="00145429" w:rsidP="00145429">
      <w:pPr>
        <w:pStyle w:val="NormalWeb"/>
        <w:jc w:val="both"/>
        <w:rPr>
          <w:rFonts w:asciiTheme="majorBidi" w:hAnsiTheme="majorBidi" w:cstheme="majorBidi"/>
          <w:sz w:val="22"/>
          <w:szCs w:val="22"/>
        </w:rPr>
      </w:pPr>
      <w:r w:rsidRPr="00145429">
        <w:rPr>
          <w:rFonts w:asciiTheme="majorBidi" w:hAnsiTheme="majorBidi" w:cstheme="majorBidi"/>
          <w:sz w:val="22"/>
          <w:szCs w:val="22"/>
        </w:rPr>
        <w:t xml:space="preserve">Mohammed </w:t>
      </w:r>
      <w:proofErr w:type="spellStart"/>
      <w:r w:rsidRPr="00145429">
        <w:rPr>
          <w:rFonts w:asciiTheme="majorBidi" w:hAnsiTheme="majorBidi" w:cstheme="majorBidi"/>
          <w:sz w:val="22"/>
          <w:szCs w:val="22"/>
        </w:rPr>
        <w:t>Adaya</w:t>
      </w:r>
      <w:proofErr w:type="spellEnd"/>
      <w:r w:rsidRPr="00145429">
        <w:rPr>
          <w:rFonts w:asciiTheme="majorBidi" w:hAnsiTheme="majorBidi" w:cstheme="majorBidi"/>
          <w:sz w:val="22"/>
          <w:szCs w:val="22"/>
        </w:rPr>
        <w:t xml:space="preserve"> </w:t>
      </w:r>
      <w:proofErr w:type="spellStart"/>
      <w:r w:rsidRPr="00145429">
        <w:rPr>
          <w:rFonts w:asciiTheme="majorBidi" w:hAnsiTheme="majorBidi" w:cstheme="majorBidi"/>
          <w:sz w:val="22"/>
          <w:szCs w:val="22"/>
        </w:rPr>
        <w:t>Salisu</w:t>
      </w:r>
      <w:proofErr w:type="spellEnd"/>
      <w:r w:rsidRPr="00145429">
        <w:rPr>
          <w:rFonts w:asciiTheme="majorBidi" w:hAnsiTheme="majorBidi" w:cstheme="majorBidi"/>
          <w:sz w:val="22"/>
          <w:szCs w:val="22"/>
        </w:rPr>
        <w:t xml:space="preserve"> holds a doctorate degree (PhD) in Economics from the University of Lancaster, United Kingdom. His doctoral thesis was on the economics of oil, titled ‘Oil and the Nigerian Economy: An econometric study’. He is currently </w:t>
      </w:r>
      <w:r w:rsidR="00B90F88">
        <w:rPr>
          <w:rFonts w:asciiTheme="majorBidi" w:hAnsiTheme="majorBidi" w:cstheme="majorBidi"/>
          <w:sz w:val="22"/>
          <w:szCs w:val="22"/>
        </w:rPr>
        <w:t xml:space="preserve">a </w:t>
      </w:r>
      <w:r w:rsidRPr="00145429">
        <w:rPr>
          <w:rFonts w:asciiTheme="majorBidi" w:hAnsiTheme="majorBidi" w:cstheme="majorBidi"/>
          <w:sz w:val="22"/>
          <w:szCs w:val="22"/>
        </w:rPr>
        <w:t>Senior Special Assistant to the President (SSAP) of Nigeria on Development Policy matters in the Office of the Chief of Staff to the President, Presidential Villa, Abuja, Nigeria. He is a Member of the Monetary Policy Committee (MPC) of the Central Bank of Nigeria (CBN)</w:t>
      </w:r>
      <w:r w:rsidR="008312B3">
        <w:rPr>
          <w:rFonts w:asciiTheme="majorBidi" w:hAnsiTheme="majorBidi" w:cstheme="majorBidi"/>
          <w:sz w:val="22"/>
          <w:szCs w:val="22"/>
        </w:rPr>
        <w:t>;</w:t>
      </w:r>
      <w:r w:rsidRPr="00145429">
        <w:rPr>
          <w:rFonts w:asciiTheme="majorBidi" w:hAnsiTheme="majorBidi" w:cstheme="majorBidi"/>
          <w:sz w:val="22"/>
          <w:szCs w:val="22"/>
        </w:rPr>
        <w:t xml:space="preserve"> Member</w:t>
      </w:r>
      <w:r w:rsidR="008312B3">
        <w:rPr>
          <w:rFonts w:asciiTheme="majorBidi" w:hAnsiTheme="majorBidi" w:cstheme="majorBidi"/>
          <w:sz w:val="22"/>
          <w:szCs w:val="22"/>
        </w:rPr>
        <w:t>/</w:t>
      </w:r>
      <w:r w:rsidRPr="00145429">
        <w:rPr>
          <w:rFonts w:asciiTheme="majorBidi" w:hAnsiTheme="majorBidi" w:cstheme="majorBidi"/>
          <w:sz w:val="22"/>
          <w:szCs w:val="22"/>
        </w:rPr>
        <w:t>Secretary</w:t>
      </w:r>
      <w:r w:rsidR="008312B3">
        <w:rPr>
          <w:rFonts w:asciiTheme="majorBidi" w:hAnsiTheme="majorBidi" w:cstheme="majorBidi"/>
          <w:sz w:val="22"/>
          <w:szCs w:val="22"/>
        </w:rPr>
        <w:t>,</w:t>
      </w:r>
      <w:r w:rsidRPr="00145429">
        <w:rPr>
          <w:rFonts w:asciiTheme="majorBidi" w:hAnsiTheme="majorBidi" w:cstheme="majorBidi"/>
          <w:sz w:val="22"/>
          <w:szCs w:val="22"/>
        </w:rPr>
        <w:t xml:space="preserve"> Presidential Economic Advisory Council</w:t>
      </w:r>
      <w:r w:rsidR="00B90F88">
        <w:rPr>
          <w:rFonts w:asciiTheme="majorBidi" w:hAnsiTheme="majorBidi" w:cstheme="majorBidi"/>
          <w:sz w:val="22"/>
          <w:szCs w:val="22"/>
        </w:rPr>
        <w:t xml:space="preserve">; </w:t>
      </w:r>
      <w:r w:rsidRPr="00145429">
        <w:rPr>
          <w:rFonts w:asciiTheme="majorBidi" w:hAnsiTheme="majorBidi" w:cstheme="majorBidi"/>
          <w:sz w:val="22"/>
          <w:szCs w:val="22"/>
        </w:rPr>
        <w:t xml:space="preserve">Representative of the Chief of Staff to the President </w:t>
      </w:r>
      <w:r w:rsidR="00B90F88">
        <w:rPr>
          <w:rFonts w:asciiTheme="majorBidi" w:hAnsiTheme="majorBidi" w:cstheme="majorBidi"/>
          <w:sz w:val="22"/>
          <w:szCs w:val="22"/>
        </w:rPr>
        <w:t>and Vice Chairman</w:t>
      </w:r>
      <w:r w:rsidR="00B90F88" w:rsidRPr="00145429">
        <w:rPr>
          <w:rFonts w:asciiTheme="majorBidi" w:hAnsiTheme="majorBidi" w:cstheme="majorBidi"/>
          <w:sz w:val="22"/>
          <w:szCs w:val="22"/>
        </w:rPr>
        <w:t xml:space="preserve"> </w:t>
      </w:r>
      <w:r w:rsidRPr="00145429">
        <w:rPr>
          <w:rFonts w:asciiTheme="majorBidi" w:hAnsiTheme="majorBidi" w:cstheme="majorBidi"/>
          <w:sz w:val="22"/>
          <w:szCs w:val="22"/>
        </w:rPr>
        <w:t>o</w:t>
      </w:r>
      <w:r w:rsidR="00B90F88">
        <w:rPr>
          <w:rFonts w:asciiTheme="majorBidi" w:hAnsiTheme="majorBidi" w:cstheme="majorBidi"/>
          <w:sz w:val="22"/>
          <w:szCs w:val="22"/>
        </w:rPr>
        <w:t>f</w:t>
      </w:r>
      <w:r w:rsidRPr="00145429">
        <w:rPr>
          <w:rFonts w:asciiTheme="majorBidi" w:hAnsiTheme="majorBidi" w:cstheme="majorBidi"/>
          <w:sz w:val="22"/>
          <w:szCs w:val="22"/>
        </w:rPr>
        <w:t xml:space="preserve"> the Presidential</w:t>
      </w:r>
      <w:r w:rsidR="00B90F88">
        <w:rPr>
          <w:rFonts w:asciiTheme="majorBidi" w:hAnsiTheme="majorBidi" w:cstheme="majorBidi"/>
          <w:sz w:val="22"/>
          <w:szCs w:val="22"/>
        </w:rPr>
        <w:t xml:space="preserve">, </w:t>
      </w:r>
      <w:r w:rsidRPr="00145429">
        <w:rPr>
          <w:rFonts w:asciiTheme="majorBidi" w:hAnsiTheme="majorBidi" w:cstheme="majorBidi"/>
          <w:sz w:val="22"/>
          <w:szCs w:val="22"/>
        </w:rPr>
        <w:t>Revenue Monitoring &amp; Reconciliation Committee (PRM&amp;RC)</w:t>
      </w:r>
      <w:r w:rsidR="00B90F88">
        <w:rPr>
          <w:rFonts w:asciiTheme="majorBidi" w:hAnsiTheme="majorBidi" w:cstheme="majorBidi"/>
          <w:sz w:val="22"/>
          <w:szCs w:val="22"/>
        </w:rPr>
        <w:t xml:space="preserve">; and </w:t>
      </w:r>
      <w:r w:rsidRPr="00145429">
        <w:rPr>
          <w:rFonts w:asciiTheme="majorBidi" w:hAnsiTheme="majorBidi" w:cstheme="majorBidi"/>
          <w:sz w:val="22"/>
          <w:szCs w:val="22"/>
        </w:rPr>
        <w:t>member</w:t>
      </w:r>
      <w:r w:rsidR="00B90F88">
        <w:rPr>
          <w:rFonts w:asciiTheme="majorBidi" w:hAnsiTheme="majorBidi" w:cstheme="majorBidi"/>
          <w:sz w:val="22"/>
          <w:szCs w:val="22"/>
        </w:rPr>
        <w:t xml:space="preserve">, </w:t>
      </w:r>
      <w:r w:rsidRPr="00145429">
        <w:rPr>
          <w:rFonts w:asciiTheme="majorBidi" w:hAnsiTheme="majorBidi" w:cstheme="majorBidi"/>
          <w:sz w:val="22"/>
          <w:szCs w:val="22"/>
        </w:rPr>
        <w:t xml:space="preserve">Board of Directors of the </w:t>
      </w:r>
      <w:proofErr w:type="spellStart"/>
      <w:r w:rsidRPr="00145429">
        <w:rPr>
          <w:rFonts w:asciiTheme="majorBidi" w:hAnsiTheme="majorBidi" w:cstheme="majorBidi"/>
          <w:sz w:val="22"/>
          <w:szCs w:val="22"/>
        </w:rPr>
        <w:t>Yobe</w:t>
      </w:r>
      <w:proofErr w:type="spellEnd"/>
      <w:r w:rsidRPr="00145429">
        <w:rPr>
          <w:rFonts w:asciiTheme="majorBidi" w:hAnsiTheme="majorBidi" w:cstheme="majorBidi"/>
          <w:sz w:val="22"/>
          <w:szCs w:val="22"/>
        </w:rPr>
        <w:t xml:space="preserve"> State Education Trust Fund (</w:t>
      </w:r>
      <w:proofErr w:type="spellStart"/>
      <w:r w:rsidRPr="00145429">
        <w:rPr>
          <w:rFonts w:asciiTheme="majorBidi" w:hAnsiTheme="majorBidi" w:cstheme="majorBidi"/>
          <w:sz w:val="22"/>
          <w:szCs w:val="22"/>
        </w:rPr>
        <w:t>YETFund</w:t>
      </w:r>
      <w:proofErr w:type="spellEnd"/>
      <w:r w:rsidRPr="00145429">
        <w:rPr>
          <w:rFonts w:asciiTheme="majorBidi" w:hAnsiTheme="majorBidi" w:cstheme="majorBidi"/>
          <w:sz w:val="22"/>
          <w:szCs w:val="22"/>
        </w:rPr>
        <w:t xml:space="preserve">). </w:t>
      </w:r>
    </w:p>
    <w:p w:rsidR="00145429" w:rsidRPr="00145429" w:rsidRDefault="00145429" w:rsidP="00145429">
      <w:pPr>
        <w:pStyle w:val="NormalWeb"/>
        <w:jc w:val="both"/>
        <w:rPr>
          <w:rFonts w:asciiTheme="majorBidi" w:hAnsiTheme="majorBidi" w:cstheme="majorBidi"/>
          <w:sz w:val="22"/>
          <w:szCs w:val="22"/>
        </w:rPr>
      </w:pPr>
      <w:r w:rsidRPr="00145429">
        <w:rPr>
          <w:rFonts w:asciiTheme="majorBidi" w:hAnsiTheme="majorBidi" w:cstheme="majorBidi"/>
          <w:sz w:val="22"/>
          <w:szCs w:val="22"/>
        </w:rPr>
        <w:t xml:space="preserve">Prior to his current position as SSAP (Development Policy), Dr. </w:t>
      </w:r>
      <w:proofErr w:type="spellStart"/>
      <w:r w:rsidRPr="00145429">
        <w:rPr>
          <w:rFonts w:asciiTheme="majorBidi" w:hAnsiTheme="majorBidi" w:cstheme="majorBidi"/>
          <w:sz w:val="22"/>
          <w:szCs w:val="22"/>
        </w:rPr>
        <w:t>Salisu</w:t>
      </w:r>
      <w:proofErr w:type="spellEnd"/>
      <w:r w:rsidRPr="00145429">
        <w:rPr>
          <w:rFonts w:asciiTheme="majorBidi" w:hAnsiTheme="majorBidi" w:cstheme="majorBidi"/>
          <w:sz w:val="22"/>
          <w:szCs w:val="22"/>
        </w:rPr>
        <w:t xml:space="preserve"> was Senior Economic Adviser to the President of the Islamic Development Bank (</w:t>
      </w:r>
      <w:proofErr w:type="spellStart"/>
      <w:r w:rsidRPr="00145429">
        <w:rPr>
          <w:rFonts w:asciiTheme="majorBidi" w:hAnsiTheme="majorBidi" w:cstheme="majorBidi"/>
          <w:sz w:val="22"/>
          <w:szCs w:val="22"/>
        </w:rPr>
        <w:t>IsDB</w:t>
      </w:r>
      <w:proofErr w:type="spellEnd"/>
      <w:r w:rsidRPr="00145429">
        <w:rPr>
          <w:rFonts w:asciiTheme="majorBidi" w:hAnsiTheme="majorBidi" w:cstheme="majorBidi"/>
          <w:sz w:val="22"/>
          <w:szCs w:val="22"/>
        </w:rPr>
        <w:t xml:space="preserve">) in Jeddah, Kingdom of Saudi Arabia (February – November 2017). </w:t>
      </w:r>
      <w:r w:rsidR="00B90F88">
        <w:rPr>
          <w:rFonts w:asciiTheme="majorBidi" w:hAnsiTheme="majorBidi" w:cstheme="majorBidi"/>
          <w:sz w:val="22"/>
          <w:szCs w:val="22"/>
        </w:rPr>
        <w:t>He</w:t>
      </w:r>
      <w:r w:rsidRPr="00145429">
        <w:rPr>
          <w:rFonts w:asciiTheme="majorBidi" w:hAnsiTheme="majorBidi" w:cstheme="majorBidi"/>
          <w:sz w:val="22"/>
          <w:szCs w:val="22"/>
        </w:rPr>
        <w:t xml:space="preserve"> also served as Managing Partner of Seeds Consulting Company, Jeddah, Saudi Arabia (2014–2017)</w:t>
      </w:r>
      <w:r w:rsidR="00B90F88">
        <w:rPr>
          <w:rFonts w:asciiTheme="majorBidi" w:hAnsiTheme="majorBidi" w:cstheme="majorBidi"/>
          <w:sz w:val="22"/>
          <w:szCs w:val="22"/>
        </w:rPr>
        <w:t>; and</w:t>
      </w:r>
      <w:r w:rsidRPr="00145429">
        <w:rPr>
          <w:rFonts w:asciiTheme="majorBidi" w:hAnsiTheme="majorBidi" w:cstheme="majorBidi"/>
          <w:sz w:val="22"/>
          <w:szCs w:val="22"/>
        </w:rPr>
        <w:t xml:space="preserve"> was the Chief Economist of Gulf One Investment Bank (Bahrain &amp; Saudi Arabia) from 2007–2014, after a three- year career at the African Development Bank, AfDB (2004–2007) as Principal Research Economist. Dr. </w:t>
      </w:r>
      <w:proofErr w:type="spellStart"/>
      <w:r w:rsidRPr="00145429">
        <w:rPr>
          <w:rFonts w:asciiTheme="majorBidi" w:hAnsiTheme="majorBidi" w:cstheme="majorBidi"/>
          <w:sz w:val="22"/>
          <w:szCs w:val="22"/>
        </w:rPr>
        <w:t>Salisu</w:t>
      </w:r>
      <w:proofErr w:type="spellEnd"/>
      <w:r w:rsidRPr="00145429">
        <w:rPr>
          <w:rFonts w:asciiTheme="majorBidi" w:hAnsiTheme="majorBidi" w:cstheme="majorBidi"/>
          <w:sz w:val="22"/>
          <w:szCs w:val="22"/>
        </w:rPr>
        <w:t xml:space="preserve"> has a long and illustrious career as Associate Professor in Economics at Lancaster University Management School (1990—2004). At the start of his professional career, Dr. </w:t>
      </w:r>
      <w:proofErr w:type="spellStart"/>
      <w:r w:rsidRPr="00145429">
        <w:rPr>
          <w:rFonts w:asciiTheme="majorBidi" w:hAnsiTheme="majorBidi" w:cstheme="majorBidi"/>
          <w:sz w:val="22"/>
          <w:szCs w:val="22"/>
        </w:rPr>
        <w:t>Salisu</w:t>
      </w:r>
      <w:proofErr w:type="spellEnd"/>
      <w:r w:rsidRPr="00145429">
        <w:rPr>
          <w:rFonts w:asciiTheme="majorBidi" w:hAnsiTheme="majorBidi" w:cstheme="majorBidi"/>
          <w:sz w:val="22"/>
          <w:szCs w:val="22"/>
        </w:rPr>
        <w:t xml:space="preserve"> taught economics at the University of Maiduguri (1983-1986) where he also obtained his </w:t>
      </w:r>
      <w:r w:rsidR="00B90F88">
        <w:rPr>
          <w:rFonts w:asciiTheme="majorBidi" w:hAnsiTheme="majorBidi" w:cstheme="majorBidi"/>
          <w:sz w:val="22"/>
          <w:szCs w:val="22"/>
        </w:rPr>
        <w:t>B</w:t>
      </w:r>
      <w:r w:rsidRPr="00145429">
        <w:rPr>
          <w:rFonts w:asciiTheme="majorBidi" w:hAnsiTheme="majorBidi" w:cstheme="majorBidi"/>
          <w:sz w:val="22"/>
          <w:szCs w:val="22"/>
        </w:rPr>
        <w:t xml:space="preserve">achelor and </w:t>
      </w:r>
      <w:proofErr w:type="spellStart"/>
      <w:r w:rsidR="00B90F88">
        <w:rPr>
          <w:rFonts w:asciiTheme="majorBidi" w:hAnsiTheme="majorBidi" w:cstheme="majorBidi"/>
          <w:sz w:val="22"/>
          <w:szCs w:val="22"/>
        </w:rPr>
        <w:lastRenderedPageBreak/>
        <w:t>M</w:t>
      </w:r>
      <w:r w:rsidRPr="00145429">
        <w:rPr>
          <w:rFonts w:asciiTheme="majorBidi" w:hAnsiTheme="majorBidi" w:cstheme="majorBidi"/>
          <w:sz w:val="22"/>
          <w:szCs w:val="22"/>
        </w:rPr>
        <w:t>asters</w:t>
      </w:r>
      <w:proofErr w:type="spellEnd"/>
      <w:r w:rsidRPr="00145429">
        <w:rPr>
          <w:rFonts w:asciiTheme="majorBidi" w:hAnsiTheme="majorBidi" w:cstheme="majorBidi"/>
          <w:sz w:val="22"/>
          <w:szCs w:val="22"/>
        </w:rPr>
        <w:t xml:space="preserve"> degrees in economics in 1982 and 1986 respectively. Dr. </w:t>
      </w:r>
      <w:proofErr w:type="spellStart"/>
      <w:r w:rsidRPr="00145429">
        <w:rPr>
          <w:rFonts w:asciiTheme="majorBidi" w:hAnsiTheme="majorBidi" w:cstheme="majorBidi"/>
          <w:sz w:val="22"/>
          <w:szCs w:val="22"/>
        </w:rPr>
        <w:t>Salisu</w:t>
      </w:r>
      <w:proofErr w:type="spellEnd"/>
      <w:r w:rsidRPr="00145429">
        <w:rPr>
          <w:rFonts w:asciiTheme="majorBidi" w:hAnsiTheme="majorBidi" w:cstheme="majorBidi"/>
          <w:sz w:val="22"/>
          <w:szCs w:val="22"/>
        </w:rPr>
        <w:t xml:space="preserve"> is the author of over 45 journal articles, papers and book chapters; 20 special economic reports; and over 250 weekly economic updates on global, regional and national economic developments. His scholarly work in economics, business management, finance and education has contributed tremendously to </w:t>
      </w:r>
      <w:proofErr w:type="spellStart"/>
      <w:r w:rsidRPr="00145429">
        <w:rPr>
          <w:rFonts w:asciiTheme="majorBidi" w:hAnsiTheme="majorBidi" w:cstheme="majorBidi"/>
          <w:sz w:val="22"/>
          <w:szCs w:val="22"/>
        </w:rPr>
        <w:t>organisational</w:t>
      </w:r>
      <w:proofErr w:type="spellEnd"/>
      <w:r w:rsidRPr="00145429">
        <w:rPr>
          <w:rFonts w:asciiTheme="majorBidi" w:hAnsiTheme="majorBidi" w:cstheme="majorBidi"/>
          <w:sz w:val="22"/>
          <w:szCs w:val="22"/>
        </w:rPr>
        <w:t xml:space="preserve"> growth and policy-oriented debates. He has a strong research collaboration with a wide range of </w:t>
      </w:r>
      <w:proofErr w:type="spellStart"/>
      <w:r w:rsidRPr="00145429">
        <w:rPr>
          <w:rFonts w:asciiTheme="majorBidi" w:hAnsiTheme="majorBidi" w:cstheme="majorBidi"/>
          <w:sz w:val="22"/>
          <w:szCs w:val="22"/>
        </w:rPr>
        <w:t>organisations</w:t>
      </w:r>
      <w:proofErr w:type="spellEnd"/>
      <w:r w:rsidRPr="00145429">
        <w:rPr>
          <w:rFonts w:asciiTheme="majorBidi" w:hAnsiTheme="majorBidi" w:cstheme="majorBidi"/>
          <w:sz w:val="22"/>
          <w:szCs w:val="22"/>
        </w:rPr>
        <w:t xml:space="preserve">, including the World Bank, International Monetary Fund (IMF), Center for European Policy Research in Brussels, AfDB, </w:t>
      </w:r>
      <w:proofErr w:type="spellStart"/>
      <w:r w:rsidRPr="00145429">
        <w:rPr>
          <w:rFonts w:asciiTheme="majorBidi" w:hAnsiTheme="majorBidi" w:cstheme="majorBidi"/>
          <w:sz w:val="22"/>
          <w:szCs w:val="22"/>
        </w:rPr>
        <w:t>IsDB</w:t>
      </w:r>
      <w:proofErr w:type="spellEnd"/>
      <w:r w:rsidRPr="00145429">
        <w:rPr>
          <w:rFonts w:asciiTheme="majorBidi" w:hAnsiTheme="majorBidi" w:cstheme="majorBidi"/>
          <w:sz w:val="22"/>
          <w:szCs w:val="22"/>
        </w:rPr>
        <w:t xml:space="preserve">, United Nations, African Economic Research Consortium, World Trade </w:t>
      </w:r>
      <w:proofErr w:type="spellStart"/>
      <w:r w:rsidRPr="00145429">
        <w:rPr>
          <w:rFonts w:asciiTheme="majorBidi" w:hAnsiTheme="majorBidi" w:cstheme="majorBidi"/>
          <w:sz w:val="22"/>
          <w:szCs w:val="22"/>
        </w:rPr>
        <w:t>Organisation</w:t>
      </w:r>
      <w:proofErr w:type="spellEnd"/>
      <w:r w:rsidRPr="00145429">
        <w:rPr>
          <w:rFonts w:asciiTheme="majorBidi" w:hAnsiTheme="majorBidi" w:cstheme="majorBidi"/>
          <w:sz w:val="22"/>
          <w:szCs w:val="22"/>
        </w:rPr>
        <w:t xml:space="preserve"> (WTO) and several research institutions in Nigeria and around the world. He is highly experienced in conducting high powered research using innovative frameworks and in monitoring and evaluation of </w:t>
      </w:r>
      <w:proofErr w:type="spellStart"/>
      <w:r w:rsidRPr="00145429">
        <w:rPr>
          <w:rFonts w:asciiTheme="majorBidi" w:hAnsiTheme="majorBidi" w:cstheme="majorBidi"/>
          <w:sz w:val="22"/>
          <w:szCs w:val="22"/>
        </w:rPr>
        <w:t>organisational</w:t>
      </w:r>
      <w:proofErr w:type="spellEnd"/>
      <w:r w:rsidRPr="00145429">
        <w:rPr>
          <w:rFonts w:asciiTheme="majorBidi" w:hAnsiTheme="majorBidi" w:cstheme="majorBidi"/>
          <w:sz w:val="22"/>
          <w:szCs w:val="22"/>
        </w:rPr>
        <w:t xml:space="preserve"> activities and performances. His current research and consultancy interests are in the areas of economic growth, monetary policy, international trade, foreign direct investment, development economics, and environmental investments. </w:t>
      </w:r>
    </w:p>
    <w:p w:rsidR="00145429" w:rsidRPr="00145429" w:rsidRDefault="00145429" w:rsidP="00145429">
      <w:pPr>
        <w:rPr>
          <w:rFonts w:asciiTheme="majorBidi" w:hAnsiTheme="majorBidi" w:cstheme="majorBidi"/>
          <w:sz w:val="22"/>
          <w:szCs w:val="22"/>
        </w:rPr>
      </w:pPr>
    </w:p>
    <w:sectPr w:rsidR="00145429" w:rsidRPr="00145429" w:rsidSect="004D45AD">
      <w:footerReference w:type="even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0414" w:rsidRDefault="00590414" w:rsidP="00D928F0">
      <w:r>
        <w:separator/>
      </w:r>
    </w:p>
  </w:endnote>
  <w:endnote w:type="continuationSeparator" w:id="0">
    <w:p w:rsidR="00590414" w:rsidRDefault="00590414" w:rsidP="00D928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960713865"/>
      <w:docPartObj>
        <w:docPartGallery w:val="Page Numbers (Bottom of Page)"/>
        <w:docPartUnique/>
      </w:docPartObj>
    </w:sdtPr>
    <w:sdtContent>
      <w:p w:rsidR="00D928F0" w:rsidRDefault="00D928F0" w:rsidP="00AB51B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D928F0" w:rsidRDefault="00D928F0" w:rsidP="00D928F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82717153"/>
      <w:docPartObj>
        <w:docPartGallery w:val="Page Numbers (Bottom of Page)"/>
        <w:docPartUnique/>
      </w:docPartObj>
    </w:sdtPr>
    <w:sdtContent>
      <w:p w:rsidR="00D928F0" w:rsidRDefault="00D928F0" w:rsidP="00AB51B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D928F0" w:rsidRDefault="00D928F0" w:rsidP="00D928F0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0414" w:rsidRDefault="00590414" w:rsidP="00D928F0">
      <w:r>
        <w:separator/>
      </w:r>
    </w:p>
  </w:footnote>
  <w:footnote w:type="continuationSeparator" w:id="0">
    <w:p w:rsidR="00590414" w:rsidRDefault="00590414" w:rsidP="00D928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429"/>
    <w:rsid w:val="00145429"/>
    <w:rsid w:val="003D3043"/>
    <w:rsid w:val="004D45AD"/>
    <w:rsid w:val="00590414"/>
    <w:rsid w:val="008312B3"/>
    <w:rsid w:val="00AA7A23"/>
    <w:rsid w:val="00B90F88"/>
    <w:rsid w:val="00D928F0"/>
    <w:rsid w:val="00EC0FFE"/>
    <w:rsid w:val="00F75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244BA8F"/>
  <w15:chartTrackingRefBased/>
  <w15:docId w15:val="{CC94024B-4FB0-5343-9741-D61CC0DB77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4542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D928F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28F0"/>
  </w:style>
  <w:style w:type="character" w:styleId="PageNumber">
    <w:name w:val="page number"/>
    <w:basedOn w:val="DefaultParagraphFont"/>
    <w:uiPriority w:val="99"/>
    <w:semiHidden/>
    <w:unhideWhenUsed/>
    <w:rsid w:val="00D928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47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76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82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721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4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85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06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443</Words>
  <Characters>2529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Emmanuel odjadjare</dc:creator>
  <cp:keywords/>
  <dc:description/>
  <cp:lastModifiedBy>Emmanuel odjadjare</cp:lastModifiedBy>
  <cp:revision>4</cp:revision>
  <dcterms:created xsi:type="dcterms:W3CDTF">2023-03-20T07:54:00Z</dcterms:created>
  <dcterms:modified xsi:type="dcterms:W3CDTF">2023-03-20T08:26:00Z</dcterms:modified>
</cp:coreProperties>
</file>